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6D" w:rsidRPr="005A796D" w:rsidRDefault="00850C07" w:rsidP="005A796D">
      <w:pPr>
        <w:pStyle w:val="NoSpacing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4686300</wp:posOffset>
            </wp:positionH>
            <wp:positionV relativeFrom="margin">
              <wp:posOffset>-257175</wp:posOffset>
            </wp:positionV>
            <wp:extent cx="1971675" cy="1219200"/>
            <wp:effectExtent l="19050" t="0" r="9525" b="0"/>
            <wp:wrapSquare wrapText="bothSides"/>
            <wp:docPr id="8" name="mainProdImg" descr="NOVA cha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ProdImg" descr="NOVA chat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6A5" w:rsidRPr="005A796D">
        <w:rPr>
          <w:sz w:val="28"/>
        </w:rPr>
        <w:t xml:space="preserve">Getting Started with Your </w:t>
      </w:r>
    </w:p>
    <w:p w:rsidR="005A169F" w:rsidRPr="005A796D" w:rsidRDefault="00850C07" w:rsidP="005A796D">
      <w:pPr>
        <w:pStyle w:val="NoSpacing"/>
        <w:rPr>
          <w:sz w:val="28"/>
        </w:rPr>
      </w:pPr>
      <w:r>
        <w:rPr>
          <w:sz w:val="28"/>
        </w:rPr>
        <w:t xml:space="preserve">Dynamic </w:t>
      </w:r>
      <w:r w:rsidR="002F36A5" w:rsidRPr="005A796D">
        <w:rPr>
          <w:sz w:val="28"/>
        </w:rPr>
        <w:t xml:space="preserve">Display </w:t>
      </w:r>
      <w:r w:rsidR="00581E26">
        <w:rPr>
          <w:sz w:val="28"/>
        </w:rPr>
        <w:t xml:space="preserve">Communication </w:t>
      </w:r>
      <w:r w:rsidR="002F36A5" w:rsidRPr="005A796D">
        <w:rPr>
          <w:sz w:val="28"/>
        </w:rPr>
        <w:t>Device</w:t>
      </w:r>
    </w:p>
    <w:p w:rsidR="005A796D" w:rsidRDefault="005A796D" w:rsidP="005A796D">
      <w:pPr>
        <w:pStyle w:val="NoSpacing"/>
      </w:pPr>
    </w:p>
    <w:p w:rsidR="00987E99" w:rsidRDefault="002F36A5" w:rsidP="00950B28">
      <w:pPr>
        <w:pStyle w:val="NoSpacing"/>
      </w:pPr>
      <w:r>
        <w:t>Name of Device: _________________</w:t>
      </w:r>
    </w:p>
    <w:p w:rsidR="00950B28" w:rsidRDefault="00950B28" w:rsidP="00950B28">
      <w:pPr>
        <w:pStyle w:val="NoSpacing"/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68"/>
        <w:gridCol w:w="8550"/>
      </w:tblGrid>
      <w:tr w:rsidR="002F36A5" w:rsidTr="00EC5B1E">
        <w:trPr>
          <w:trHeight w:val="1578"/>
        </w:trPr>
        <w:tc>
          <w:tcPr>
            <w:tcW w:w="2268" w:type="dxa"/>
          </w:tcPr>
          <w:p w:rsidR="002F36A5" w:rsidRDefault="002F36A5" w:rsidP="00581E26">
            <w:pPr>
              <w:jc w:val="center"/>
              <w:rPr>
                <w:b/>
              </w:rPr>
            </w:pPr>
            <w:r w:rsidRPr="00295F11">
              <w:rPr>
                <w:b/>
              </w:rPr>
              <w:t>Self-determination</w:t>
            </w:r>
          </w:p>
          <w:p w:rsidR="005A796D" w:rsidRPr="00295F11" w:rsidRDefault="005A796D" w:rsidP="00581E2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2AAADB3" wp14:editId="38D67934">
                  <wp:extent cx="1066800" cy="91122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35" cy="91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0" w:type="dxa"/>
          </w:tcPr>
          <w:p w:rsidR="002F36A5" w:rsidRDefault="002F36A5" w:rsidP="00581E26">
            <w:r>
              <w:t xml:space="preserve">As much as possible have the student be responsible for the device right from the start. Establish a routine </w:t>
            </w:r>
            <w:r w:rsidR="0016683D">
              <w:t xml:space="preserve">and provide a checklist if necessary so the student can </w:t>
            </w:r>
            <w:r>
              <w:t>get their device out</w:t>
            </w:r>
            <w:r w:rsidR="00581E26">
              <w:t xml:space="preserve"> of their backpack and</w:t>
            </w:r>
            <w:r>
              <w:t xml:space="preserve"> place it on their d</w:t>
            </w:r>
            <w:r w:rsidR="00581E26">
              <w:t>esk first thing in the morning. T</w:t>
            </w:r>
            <w:r>
              <w:t>each them to plug it in to charge</w:t>
            </w:r>
            <w:r w:rsidR="0016683D">
              <w:t xml:space="preserve"> </w:t>
            </w:r>
            <w:r w:rsidR="00581E26">
              <w:t xml:space="preserve">or to ask </w:t>
            </w:r>
            <w:r w:rsidR="00F249DA">
              <w:t>someone to do it for them.</w:t>
            </w:r>
            <w:r w:rsidR="00444B74">
              <w:t xml:space="preserve"> A device checklist is available at </w:t>
            </w:r>
            <w:hyperlink r:id="rId11" w:history="1">
              <w:r w:rsidR="00444B74" w:rsidRPr="00444B74">
                <w:rPr>
                  <w:rStyle w:val="Hyperlink"/>
                </w:rPr>
                <w:t>boardmakershare.com</w:t>
              </w:r>
            </w:hyperlink>
          </w:p>
        </w:tc>
      </w:tr>
      <w:tr w:rsidR="002F36A5" w:rsidTr="00581E26">
        <w:tc>
          <w:tcPr>
            <w:tcW w:w="2268" w:type="dxa"/>
          </w:tcPr>
          <w:p w:rsidR="002F36A5" w:rsidRDefault="00850C07" w:rsidP="00581E26">
            <w:pPr>
              <w:jc w:val="center"/>
              <w:rPr>
                <w:b/>
              </w:rPr>
            </w:pPr>
            <w:r>
              <w:rPr>
                <w:b/>
              </w:rPr>
              <w:t xml:space="preserve">Vocabulary </w:t>
            </w:r>
            <w:r w:rsidR="00581E26">
              <w:rPr>
                <w:b/>
              </w:rPr>
              <w:t>files</w:t>
            </w:r>
          </w:p>
          <w:p w:rsidR="005A796D" w:rsidRPr="00295F11" w:rsidRDefault="00F37B53" w:rsidP="00581E2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566CB16B" wp14:editId="22DF3D20">
                  <wp:simplePos x="0" y="0"/>
                  <wp:positionH relativeFrom="margin">
                    <wp:posOffset>152400</wp:posOffset>
                  </wp:positionH>
                  <wp:positionV relativeFrom="margin">
                    <wp:posOffset>391795</wp:posOffset>
                  </wp:positionV>
                  <wp:extent cx="1228725" cy="103822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81E26">
              <w:rPr>
                <w:b/>
              </w:rPr>
              <w:t>and apps</w:t>
            </w:r>
          </w:p>
        </w:tc>
        <w:tc>
          <w:tcPr>
            <w:tcW w:w="8550" w:type="dxa"/>
          </w:tcPr>
          <w:p w:rsidR="00581E26" w:rsidRDefault="00581E26" w:rsidP="002F36A5">
            <w:r>
              <w:t>Level of representation:</w:t>
            </w:r>
            <w:r>
              <w:tab/>
            </w:r>
            <w:r>
              <w:tab/>
            </w:r>
            <w:r>
              <w:rPr>
                <w:rFonts w:ascii="Wingdings" w:hAnsi="Wingdings"/>
              </w:rPr>
              <w:t></w:t>
            </w:r>
            <w:r>
              <w:t>PCS</w:t>
            </w:r>
            <w:r>
              <w:tab/>
            </w:r>
            <w:r>
              <w:tab/>
            </w:r>
            <w:r>
              <w:rPr>
                <w:rFonts w:ascii="Wingdings" w:hAnsi="Wingdings"/>
              </w:rPr>
              <w:t></w:t>
            </w:r>
            <w:r>
              <w:t>SymbolStix</w:t>
            </w:r>
          </w:p>
          <w:p w:rsidR="00581E26" w:rsidRDefault="00581E26" w:rsidP="002F36A5"/>
          <w:p w:rsidR="002F36A5" w:rsidRPr="00C54500" w:rsidRDefault="00850C07" w:rsidP="002F36A5">
            <w:pPr>
              <w:rPr>
                <w:sz w:val="20"/>
              </w:rPr>
            </w:pPr>
            <w:r w:rsidRPr="00C54500">
              <w:rPr>
                <w:sz w:val="20"/>
              </w:rPr>
              <w:t xml:space="preserve">The vocabulary </w:t>
            </w:r>
            <w:proofErr w:type="spellStart"/>
            <w:r w:rsidRPr="00C54500">
              <w:rPr>
                <w:sz w:val="20"/>
              </w:rPr>
              <w:t>pageset</w:t>
            </w:r>
            <w:proofErr w:type="spellEnd"/>
            <w:r w:rsidRPr="00C54500">
              <w:rPr>
                <w:sz w:val="20"/>
              </w:rPr>
              <w:t xml:space="preserve"> recommended for this student is:</w:t>
            </w:r>
          </w:p>
          <w:p w:rsidR="00850C07" w:rsidRPr="00C54500" w:rsidRDefault="00581E26" w:rsidP="002F36A5">
            <w:pPr>
              <w:rPr>
                <w:sz w:val="20"/>
              </w:rPr>
            </w:pPr>
            <w:r w:rsidRPr="00C54500">
              <w:rPr>
                <w:sz w:val="20"/>
              </w:rPr>
              <w:t xml:space="preserve">ALT Chat: </w:t>
            </w:r>
            <w:r w:rsidRPr="00C54500">
              <w:rPr>
                <w:sz w:val="20"/>
              </w:rPr>
              <w:tab/>
            </w:r>
            <w:r w:rsidRPr="00C54500">
              <w:rPr>
                <w:rFonts w:ascii="Wingdings" w:hAnsi="Wingdings"/>
                <w:sz w:val="20"/>
              </w:rPr>
              <w:t></w:t>
            </w:r>
            <w:proofErr w:type="spellStart"/>
            <w:r w:rsidR="00850C07" w:rsidRPr="00C54500">
              <w:rPr>
                <w:sz w:val="20"/>
              </w:rPr>
              <w:t>MultiChat</w:t>
            </w:r>
            <w:proofErr w:type="spellEnd"/>
            <w:r w:rsidR="00850C07" w:rsidRPr="00C54500">
              <w:rPr>
                <w:sz w:val="20"/>
              </w:rPr>
              <w:t xml:space="preserve"> 15</w:t>
            </w:r>
            <w:r w:rsidR="00EC5B1E">
              <w:rPr>
                <w:sz w:val="20"/>
              </w:rPr>
              <w:tab/>
            </w:r>
            <w:r w:rsidRPr="00C54500">
              <w:rPr>
                <w:sz w:val="20"/>
              </w:rPr>
              <w:tab/>
            </w:r>
            <w:r w:rsidRPr="00C54500">
              <w:rPr>
                <w:rFonts w:ascii="Wingdings" w:hAnsi="Wingdings"/>
                <w:sz w:val="20"/>
              </w:rPr>
              <w:t></w:t>
            </w:r>
            <w:proofErr w:type="spellStart"/>
            <w:r w:rsidRPr="00C54500">
              <w:rPr>
                <w:sz w:val="20"/>
              </w:rPr>
              <w:t>PalmChat</w:t>
            </w:r>
            <w:proofErr w:type="spellEnd"/>
            <w:r w:rsidRPr="00C54500">
              <w:rPr>
                <w:sz w:val="20"/>
              </w:rPr>
              <w:t xml:space="preserve"> 4x9</w:t>
            </w:r>
            <w:r w:rsidR="00444B74">
              <w:rPr>
                <w:sz w:val="20"/>
              </w:rPr>
              <w:tab/>
            </w:r>
          </w:p>
          <w:p w:rsidR="00581E26" w:rsidRPr="00C54500" w:rsidRDefault="00581E26" w:rsidP="002F36A5">
            <w:pPr>
              <w:rPr>
                <w:sz w:val="20"/>
              </w:rPr>
            </w:pPr>
            <w:r w:rsidRPr="00C54500">
              <w:rPr>
                <w:sz w:val="20"/>
              </w:rPr>
              <w:t>NOVA:</w:t>
            </w:r>
            <w:r w:rsidRPr="00C54500">
              <w:rPr>
                <w:sz w:val="20"/>
              </w:rPr>
              <w:tab/>
            </w:r>
            <w:r w:rsidR="00EC5B1E">
              <w:rPr>
                <w:sz w:val="20"/>
              </w:rPr>
              <w:tab/>
            </w:r>
            <w:r w:rsidRPr="00C54500">
              <w:rPr>
                <w:rFonts w:ascii="Wingdings" w:hAnsi="Wingdings"/>
                <w:sz w:val="20"/>
              </w:rPr>
              <w:t></w:t>
            </w:r>
            <w:proofErr w:type="spellStart"/>
            <w:r w:rsidRPr="00C54500">
              <w:rPr>
                <w:sz w:val="20"/>
              </w:rPr>
              <w:t>MultiChat</w:t>
            </w:r>
            <w:proofErr w:type="spellEnd"/>
            <w:r w:rsidR="00444B74">
              <w:rPr>
                <w:sz w:val="20"/>
              </w:rPr>
              <w:t xml:space="preserve"> 15</w:t>
            </w:r>
            <w:r w:rsidRPr="00C54500">
              <w:rPr>
                <w:sz w:val="20"/>
              </w:rPr>
              <w:tab/>
            </w:r>
            <w:r w:rsidRPr="00C54500">
              <w:rPr>
                <w:sz w:val="20"/>
              </w:rPr>
              <w:tab/>
            </w:r>
            <w:r w:rsidRPr="00C54500">
              <w:rPr>
                <w:rFonts w:ascii="Wingdings" w:hAnsi="Wingdings"/>
                <w:sz w:val="20"/>
              </w:rPr>
              <w:t></w:t>
            </w:r>
            <w:proofErr w:type="spellStart"/>
            <w:r w:rsidRPr="00C54500">
              <w:rPr>
                <w:sz w:val="20"/>
              </w:rPr>
              <w:t>PalmChat</w:t>
            </w:r>
            <w:proofErr w:type="spellEnd"/>
            <w:r w:rsidRPr="00C54500">
              <w:rPr>
                <w:sz w:val="20"/>
              </w:rPr>
              <w:t xml:space="preserve"> 4x9</w:t>
            </w:r>
          </w:p>
          <w:p w:rsidR="00850C07" w:rsidRPr="00C54500" w:rsidRDefault="00581E26" w:rsidP="002F36A5">
            <w:pPr>
              <w:rPr>
                <w:sz w:val="20"/>
              </w:rPr>
            </w:pPr>
            <w:r w:rsidRPr="00C54500">
              <w:rPr>
                <w:sz w:val="20"/>
              </w:rPr>
              <w:t xml:space="preserve">iPad: </w:t>
            </w:r>
            <w:r w:rsidRPr="00C54500">
              <w:rPr>
                <w:sz w:val="20"/>
              </w:rPr>
              <w:tab/>
            </w:r>
            <w:r w:rsidRPr="00C54500">
              <w:rPr>
                <w:sz w:val="20"/>
              </w:rPr>
              <w:tab/>
            </w:r>
            <w:r w:rsidRPr="00C54500">
              <w:rPr>
                <w:rFonts w:ascii="Wingdings" w:hAnsi="Wingdings"/>
                <w:sz w:val="20"/>
              </w:rPr>
              <w:t></w:t>
            </w:r>
            <w:r w:rsidR="00850C07" w:rsidRPr="00C54500">
              <w:rPr>
                <w:sz w:val="20"/>
              </w:rPr>
              <w:t>P2G</w:t>
            </w:r>
            <w:r w:rsidR="00F249DA" w:rsidRPr="00C54500">
              <w:rPr>
                <w:sz w:val="20"/>
              </w:rPr>
              <w:t xml:space="preserve"> ________</w:t>
            </w:r>
            <w:r w:rsidR="00F249DA" w:rsidRPr="00C54500">
              <w:rPr>
                <w:sz w:val="20"/>
              </w:rPr>
              <w:tab/>
            </w:r>
            <w:r w:rsidRPr="00C54500">
              <w:rPr>
                <w:rFonts w:ascii="Wingdings" w:hAnsi="Wingdings"/>
                <w:sz w:val="20"/>
              </w:rPr>
              <w:t></w:t>
            </w:r>
            <w:r w:rsidR="00850C07" w:rsidRPr="00C54500">
              <w:rPr>
                <w:sz w:val="20"/>
              </w:rPr>
              <w:t>TouchChat</w:t>
            </w:r>
            <w:r w:rsidR="00F249DA" w:rsidRPr="00C54500">
              <w:rPr>
                <w:sz w:val="20"/>
              </w:rPr>
              <w:t xml:space="preserve"> _______</w:t>
            </w:r>
          </w:p>
          <w:p w:rsidR="00F37B53" w:rsidRPr="00C54500" w:rsidRDefault="00F249DA" w:rsidP="002F36A5">
            <w:pPr>
              <w:rPr>
                <w:sz w:val="20"/>
              </w:rPr>
            </w:pPr>
            <w:r w:rsidRPr="00C54500">
              <w:rPr>
                <w:sz w:val="20"/>
              </w:rPr>
              <w:t>Other:</w:t>
            </w:r>
          </w:p>
          <w:p w:rsidR="00F249DA" w:rsidRPr="00EC5B1E" w:rsidRDefault="00F249DA" w:rsidP="00F249DA">
            <w:pPr>
              <w:rPr>
                <w:b/>
              </w:rPr>
            </w:pPr>
            <w:r w:rsidRPr="00EC5B1E">
              <w:rPr>
                <w:b/>
              </w:rPr>
              <w:t>Make a point to get familiar with the vocabulary that’s already there to find ways to incorporate the device into activities that are already occurring. This will also allow you to have a better idea of where to add additional vocabulary.</w:t>
            </w:r>
          </w:p>
        </w:tc>
      </w:tr>
      <w:tr w:rsidR="002F36A5" w:rsidTr="00581E26">
        <w:tc>
          <w:tcPr>
            <w:tcW w:w="2268" w:type="dxa"/>
          </w:tcPr>
          <w:p w:rsidR="002F36A5" w:rsidRDefault="009967C2" w:rsidP="00581E26">
            <w:pPr>
              <w:jc w:val="center"/>
              <w:rPr>
                <w:b/>
              </w:rPr>
            </w:pPr>
            <w:r w:rsidRPr="00295F11">
              <w:rPr>
                <w:b/>
              </w:rPr>
              <w:t>Device operation</w:t>
            </w:r>
          </w:p>
          <w:p w:rsidR="00950B28" w:rsidRPr="00295F11" w:rsidRDefault="00950B28" w:rsidP="00581E2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76EA9A5" wp14:editId="5B6EDA95">
                  <wp:extent cx="1076325" cy="919361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172" cy="920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0" w:type="dxa"/>
          </w:tcPr>
          <w:p w:rsidR="00F37B53" w:rsidRDefault="00F249DA" w:rsidP="00EC5B1E">
            <w:pPr>
              <w:pStyle w:val="ListParagraph"/>
              <w:numPr>
                <w:ilvl w:val="0"/>
                <w:numId w:val="4"/>
              </w:numPr>
            </w:pPr>
            <w:r>
              <w:t xml:space="preserve">The OCPS AT Team </w:t>
            </w:r>
            <w:r w:rsidR="00C54500">
              <w:t>has</w:t>
            </w:r>
            <w:r>
              <w:t xml:space="preserve"> deve</w:t>
            </w:r>
            <w:r w:rsidR="00C54500">
              <w:t xml:space="preserve">loped a variety of quick starts, available </w:t>
            </w:r>
            <w:r w:rsidR="00444B74">
              <w:t>upon</w:t>
            </w:r>
            <w:r w:rsidR="00C54500">
              <w:t xml:space="preserve"> request.</w:t>
            </w:r>
          </w:p>
          <w:p w:rsidR="00F37B53" w:rsidRDefault="00F37B53" w:rsidP="00EC5B1E">
            <w:pPr>
              <w:pStyle w:val="ListParagraph"/>
              <w:numPr>
                <w:ilvl w:val="0"/>
                <w:numId w:val="4"/>
              </w:numPr>
            </w:pPr>
            <w:r>
              <w:t xml:space="preserve">Remember </w:t>
            </w:r>
            <w:r w:rsidR="00EC5B1E">
              <w:t xml:space="preserve">to check for and run software </w:t>
            </w:r>
            <w:r>
              <w:t>updates</w:t>
            </w:r>
            <w:r w:rsidR="00EC5B1E">
              <w:t xml:space="preserve"> </w:t>
            </w:r>
          </w:p>
          <w:p w:rsidR="00F37B53" w:rsidRDefault="00444B74" w:rsidP="00EC5B1E">
            <w:pPr>
              <w:pStyle w:val="ListParagraph"/>
              <w:numPr>
                <w:ilvl w:val="0"/>
                <w:numId w:val="4"/>
              </w:numPr>
            </w:pPr>
            <w:r>
              <w:t>S</w:t>
            </w:r>
            <w:r w:rsidR="00F37B53">
              <w:t>oftware makes programming on the computer possible</w:t>
            </w:r>
            <w:r>
              <w:t xml:space="preserve"> for some devices</w:t>
            </w:r>
          </w:p>
          <w:p w:rsidR="00F249DA" w:rsidRDefault="00EC5B1E" w:rsidP="00EC5B1E">
            <w:pPr>
              <w:pStyle w:val="ListParagraph"/>
              <w:numPr>
                <w:ilvl w:val="0"/>
                <w:numId w:val="4"/>
              </w:numPr>
            </w:pPr>
            <w:r>
              <w:t>Many devices have s</w:t>
            </w:r>
            <w:r w:rsidR="00C54500">
              <w:t>oft/</w:t>
            </w:r>
            <w:r>
              <w:t>h</w:t>
            </w:r>
            <w:r w:rsidR="00F249DA">
              <w:t>ard resets</w:t>
            </w:r>
            <w:r w:rsidR="00444B74">
              <w:t xml:space="preserve"> if the device freezes</w:t>
            </w:r>
          </w:p>
          <w:p w:rsidR="00C54500" w:rsidRDefault="00C54500" w:rsidP="00EC5B1E">
            <w:pPr>
              <w:pStyle w:val="ListParagraph"/>
              <w:numPr>
                <w:ilvl w:val="0"/>
                <w:numId w:val="4"/>
              </w:numPr>
            </w:pPr>
            <w:r>
              <w:t>If you are having issues contact the vendor first (info below)</w:t>
            </w:r>
          </w:p>
        </w:tc>
      </w:tr>
      <w:tr w:rsidR="002F36A5" w:rsidTr="00EC5B1E">
        <w:trPr>
          <w:trHeight w:val="2613"/>
        </w:trPr>
        <w:tc>
          <w:tcPr>
            <w:tcW w:w="2268" w:type="dxa"/>
          </w:tcPr>
          <w:p w:rsidR="005A796D" w:rsidRDefault="00EC5B1E" w:rsidP="00581E26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0410268" wp14:editId="79060EDE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592455</wp:posOffset>
                  </wp:positionV>
                  <wp:extent cx="1123950" cy="94869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1E26">
              <w:rPr>
                <w:b/>
              </w:rPr>
              <w:t>How do I implement the device?</w:t>
            </w:r>
          </w:p>
          <w:p w:rsidR="00C54500" w:rsidRPr="00295F11" w:rsidRDefault="00C54500" w:rsidP="00581E26">
            <w:pPr>
              <w:jc w:val="center"/>
              <w:rPr>
                <w:b/>
              </w:rPr>
            </w:pPr>
          </w:p>
        </w:tc>
        <w:tc>
          <w:tcPr>
            <w:tcW w:w="8550" w:type="dxa"/>
          </w:tcPr>
          <w:p w:rsidR="00F249DA" w:rsidRDefault="00F249DA" w:rsidP="00F249DA">
            <w:r>
              <w:t>Incorporate device use into fr</w:t>
            </w:r>
            <w:r w:rsidR="00444B74">
              <w:t>equently occurring, motivating activities.</w:t>
            </w:r>
          </w:p>
          <w:p w:rsidR="00F249DA" w:rsidRDefault="00F249DA" w:rsidP="00F249DA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Arrange the environment to create communication opportunities – missing supplies, locked cabinets, items in view but out of reach</w:t>
            </w:r>
          </w:p>
          <w:p w:rsidR="00F249DA" w:rsidRDefault="00F249DA" w:rsidP="00F249D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Giv</w:t>
            </w:r>
            <w:r w:rsidR="00444B74">
              <w:t>e</w:t>
            </w:r>
            <w:r>
              <w:t xml:space="preserve"> the student adequate time to respond – </w:t>
            </w:r>
            <w:r w:rsidR="00444B74">
              <w:t xml:space="preserve">use </w:t>
            </w:r>
            <w:r>
              <w:t>the power of the pause</w:t>
            </w:r>
          </w:p>
          <w:p w:rsidR="00F249DA" w:rsidRDefault="00F249DA" w:rsidP="00F249D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Limit prompting and allow the student to do it on their own</w:t>
            </w:r>
          </w:p>
          <w:p w:rsidR="00F249DA" w:rsidRDefault="00F249DA" w:rsidP="00F249D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Provide aided language or modeling by using the device as you communicate</w:t>
            </w:r>
          </w:p>
          <w:p w:rsidR="005A796D" w:rsidRDefault="00F249DA" w:rsidP="00F249DA">
            <w:r>
              <w:t>Raise your expectations – you might be surprised at what our students can do!</w:t>
            </w:r>
          </w:p>
        </w:tc>
      </w:tr>
      <w:tr w:rsidR="002F36A5" w:rsidTr="00EC5B1E">
        <w:trPr>
          <w:trHeight w:val="2163"/>
        </w:trPr>
        <w:tc>
          <w:tcPr>
            <w:tcW w:w="2268" w:type="dxa"/>
          </w:tcPr>
          <w:p w:rsidR="002F36A5" w:rsidRDefault="006051A6" w:rsidP="00581E26">
            <w:pPr>
              <w:jc w:val="center"/>
              <w:rPr>
                <w:b/>
              </w:rPr>
            </w:pPr>
            <w:r>
              <w:rPr>
                <w:b/>
              </w:rPr>
              <w:t>Additional resources</w:t>
            </w:r>
          </w:p>
          <w:p w:rsidR="005A796D" w:rsidRPr="00295F11" w:rsidRDefault="005A796D" w:rsidP="00581E2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10E29C6" wp14:editId="6765514A">
                  <wp:extent cx="1228725" cy="1049536"/>
                  <wp:effectExtent l="1905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49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0" w:type="dxa"/>
          </w:tcPr>
          <w:p w:rsidR="00850C07" w:rsidRDefault="00850C07" w:rsidP="002F36A5">
            <w:r>
              <w:t>Vendor Websites:</w:t>
            </w:r>
          </w:p>
          <w:p w:rsidR="00850C07" w:rsidRDefault="00850C07" w:rsidP="002F36A5">
            <w:r>
              <w:t>Saltillo</w:t>
            </w:r>
            <w:r w:rsidR="00C54500">
              <w:t xml:space="preserve"> - </w:t>
            </w:r>
            <w:hyperlink r:id="rId16" w:history="1">
              <w:r w:rsidR="00C54500" w:rsidRPr="00EC5B1E">
                <w:rPr>
                  <w:rStyle w:val="Hyperlink"/>
                </w:rPr>
                <w:t>saltillo.com</w:t>
              </w:r>
            </w:hyperlink>
          </w:p>
          <w:p w:rsidR="00850C07" w:rsidRDefault="00850C07" w:rsidP="002F36A5">
            <w:r>
              <w:t>Dynavox</w:t>
            </w:r>
            <w:r w:rsidR="00C54500">
              <w:t xml:space="preserve"> –</w:t>
            </w:r>
            <w:r w:rsidR="00EC5B1E">
              <w:t xml:space="preserve"> </w:t>
            </w:r>
            <w:hyperlink r:id="rId17" w:history="1">
              <w:r w:rsidR="00EC5B1E" w:rsidRPr="00E6689C">
                <w:rPr>
                  <w:rStyle w:val="Hyperlink"/>
                </w:rPr>
                <w:t>www.dynavoxtech.com</w:t>
              </w:r>
            </w:hyperlink>
          </w:p>
          <w:p w:rsidR="00EC5B1E" w:rsidRDefault="00850C07" w:rsidP="00F249DA">
            <w:r>
              <w:t>PRC</w:t>
            </w:r>
            <w:r w:rsidR="00C54500">
              <w:t xml:space="preserve"> – </w:t>
            </w:r>
            <w:hyperlink r:id="rId18" w:history="1">
              <w:r w:rsidR="00EC5B1E" w:rsidRPr="00E6689C">
                <w:rPr>
                  <w:rStyle w:val="Hyperlink"/>
                </w:rPr>
                <w:t>www.prentrom.com</w:t>
              </w:r>
            </w:hyperlink>
          </w:p>
          <w:p w:rsidR="005561D1" w:rsidRDefault="005561D1" w:rsidP="00F249DA">
            <w:proofErr w:type="spellStart"/>
            <w:r>
              <w:t>Assistiveware</w:t>
            </w:r>
            <w:proofErr w:type="spellEnd"/>
            <w:r>
              <w:t xml:space="preserve">- </w:t>
            </w:r>
            <w:hyperlink r:id="rId19" w:history="1">
              <w:r w:rsidRPr="00A476BC">
                <w:rPr>
                  <w:rStyle w:val="Hyperlink"/>
                </w:rPr>
                <w:t>www.assistiveware.com</w:t>
              </w:r>
            </w:hyperlink>
            <w:r>
              <w:t xml:space="preserve">  </w:t>
            </w:r>
          </w:p>
          <w:p w:rsidR="005561D1" w:rsidRDefault="005561D1" w:rsidP="00F249DA">
            <w:r>
              <w:t xml:space="preserve">Silver Kite- </w:t>
            </w:r>
            <w:hyperlink r:id="rId20" w:history="1">
              <w:r w:rsidRPr="00A476BC">
                <w:rPr>
                  <w:rStyle w:val="Hyperlink"/>
                </w:rPr>
                <w:t>www.silver-kite.com</w:t>
              </w:r>
            </w:hyperlink>
            <w:r>
              <w:t xml:space="preserve">  or touchchatapp.com</w:t>
            </w:r>
            <w:bookmarkStart w:id="0" w:name="_GoBack"/>
            <w:bookmarkEnd w:id="0"/>
            <w:r>
              <w:t xml:space="preserve">  </w:t>
            </w:r>
          </w:p>
          <w:p w:rsidR="006A0F78" w:rsidRDefault="00F249DA" w:rsidP="00444B74">
            <w:proofErr w:type="spellStart"/>
            <w:r>
              <w:t>Pages</w:t>
            </w:r>
            <w:r w:rsidR="00581E26">
              <w:t>ets</w:t>
            </w:r>
            <w:proofErr w:type="spellEnd"/>
            <w:r w:rsidR="00581E26">
              <w:t xml:space="preserve"> for some </w:t>
            </w:r>
            <w:r>
              <w:t xml:space="preserve">dynamic </w:t>
            </w:r>
            <w:r w:rsidR="00581E26">
              <w:t xml:space="preserve">devices can be printed as </w:t>
            </w:r>
            <w:r>
              <w:t>b</w:t>
            </w:r>
            <w:r w:rsidR="00581E26">
              <w:t>ack up manual systems</w:t>
            </w:r>
            <w:r w:rsidR="00444B74">
              <w:t xml:space="preserve"> – find them at </w:t>
            </w:r>
            <w:r w:rsidR="00581E26">
              <w:t xml:space="preserve"> </w:t>
            </w:r>
            <w:hyperlink r:id="rId21" w:history="1">
              <w:r w:rsidR="00444B74" w:rsidRPr="00444B74">
                <w:rPr>
                  <w:rStyle w:val="Hyperlink"/>
                </w:rPr>
                <w:t>f</w:t>
              </w:r>
              <w:r w:rsidR="00581E26" w:rsidRPr="00444B74">
                <w:rPr>
                  <w:rStyle w:val="Hyperlink"/>
                </w:rPr>
                <w:t>dlrsregion3dynamicdisplaypages.wikispaces.com</w:t>
              </w:r>
            </w:hyperlink>
            <w:r w:rsidR="00581E26">
              <w:t xml:space="preserve"> </w:t>
            </w:r>
          </w:p>
        </w:tc>
      </w:tr>
    </w:tbl>
    <w:p w:rsidR="002F36A5" w:rsidRDefault="002F36A5" w:rsidP="00EC5B1E">
      <w:pPr>
        <w:tabs>
          <w:tab w:val="left" w:pos="1215"/>
        </w:tabs>
      </w:pPr>
    </w:p>
    <w:sectPr w:rsidR="002F36A5" w:rsidSect="00950B28"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F6" w:rsidRDefault="00CA75F6" w:rsidP="00987E99">
      <w:pPr>
        <w:spacing w:after="0" w:line="240" w:lineRule="auto"/>
      </w:pPr>
      <w:r>
        <w:separator/>
      </w:r>
    </w:p>
  </w:endnote>
  <w:endnote w:type="continuationSeparator" w:id="0">
    <w:p w:rsidR="00CA75F6" w:rsidRDefault="00CA75F6" w:rsidP="0098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99" w:rsidRDefault="00987E99" w:rsidP="00581E26">
    <w:pPr>
      <w:pStyle w:val="Footer"/>
      <w:tabs>
        <w:tab w:val="clear" w:pos="4680"/>
        <w:tab w:val="clear" w:pos="9360"/>
        <w:tab w:val="center" w:pos="10620"/>
      </w:tabs>
    </w:pPr>
    <w:r>
      <w:t>Marcia Sterner, OCPS AT Team</w:t>
    </w:r>
    <w:r w:rsidR="00581E26">
      <w:tab/>
      <w:t>September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F6" w:rsidRDefault="00CA75F6" w:rsidP="00987E99">
      <w:pPr>
        <w:spacing w:after="0" w:line="240" w:lineRule="auto"/>
      </w:pPr>
      <w:r>
        <w:separator/>
      </w:r>
    </w:p>
  </w:footnote>
  <w:footnote w:type="continuationSeparator" w:id="0">
    <w:p w:rsidR="00CA75F6" w:rsidRDefault="00CA75F6" w:rsidP="00987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F7F60"/>
    <w:multiLevelType w:val="hybridMultilevel"/>
    <w:tmpl w:val="E3E0AD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CA6A33"/>
    <w:multiLevelType w:val="hybridMultilevel"/>
    <w:tmpl w:val="0F405F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AA7A8B"/>
    <w:multiLevelType w:val="hybridMultilevel"/>
    <w:tmpl w:val="FF7A9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6D79E4"/>
    <w:multiLevelType w:val="hybridMultilevel"/>
    <w:tmpl w:val="FEC0C9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6A5"/>
    <w:rsid w:val="0001187E"/>
    <w:rsid w:val="00083A95"/>
    <w:rsid w:val="00107BD3"/>
    <w:rsid w:val="0016683D"/>
    <w:rsid w:val="00295F11"/>
    <w:rsid w:val="002F36A5"/>
    <w:rsid w:val="0039215D"/>
    <w:rsid w:val="00444B74"/>
    <w:rsid w:val="005561D1"/>
    <w:rsid w:val="00581E26"/>
    <w:rsid w:val="00590553"/>
    <w:rsid w:val="005A169F"/>
    <w:rsid w:val="005A796D"/>
    <w:rsid w:val="005F263B"/>
    <w:rsid w:val="006051A6"/>
    <w:rsid w:val="006A0F78"/>
    <w:rsid w:val="00831444"/>
    <w:rsid w:val="00850C07"/>
    <w:rsid w:val="008E77A8"/>
    <w:rsid w:val="00950B28"/>
    <w:rsid w:val="00987E99"/>
    <w:rsid w:val="009967C2"/>
    <w:rsid w:val="00AE3A67"/>
    <w:rsid w:val="00B82812"/>
    <w:rsid w:val="00C2149A"/>
    <w:rsid w:val="00C54500"/>
    <w:rsid w:val="00CA75F6"/>
    <w:rsid w:val="00CE6E47"/>
    <w:rsid w:val="00D02D92"/>
    <w:rsid w:val="00DD6C76"/>
    <w:rsid w:val="00E02287"/>
    <w:rsid w:val="00E415A6"/>
    <w:rsid w:val="00EC5B1E"/>
    <w:rsid w:val="00F249DA"/>
    <w:rsid w:val="00F37B53"/>
    <w:rsid w:val="00F5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6A5"/>
    <w:rPr>
      <w:rFonts w:ascii="Comic Sans MS" w:hAnsi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F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0F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8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7E99"/>
    <w:rPr>
      <w:rFonts w:ascii="Comic Sans MS" w:hAnsi="Comic Sans MS"/>
    </w:rPr>
  </w:style>
  <w:style w:type="paragraph" w:styleId="Footer">
    <w:name w:val="footer"/>
    <w:basedOn w:val="Normal"/>
    <w:link w:val="FooterChar"/>
    <w:uiPriority w:val="99"/>
    <w:semiHidden/>
    <w:unhideWhenUsed/>
    <w:rsid w:val="0098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7E99"/>
    <w:rPr>
      <w:rFonts w:ascii="Comic Sans MS" w:hAnsi="Comic Sans MS"/>
    </w:rPr>
  </w:style>
  <w:style w:type="paragraph" w:styleId="NoSpacing">
    <w:name w:val="No Spacing"/>
    <w:uiPriority w:val="1"/>
    <w:qFormat/>
    <w:rsid w:val="005A796D"/>
    <w:pPr>
      <w:spacing w:after="0" w:line="240" w:lineRule="auto"/>
    </w:pPr>
    <w:rPr>
      <w:rFonts w:ascii="Comic Sans MS" w:hAnsi="Comic Sans MS"/>
    </w:rPr>
  </w:style>
  <w:style w:type="paragraph" w:styleId="ListParagraph">
    <w:name w:val="List Paragraph"/>
    <w:basedOn w:val="Normal"/>
    <w:uiPriority w:val="34"/>
    <w:qFormat/>
    <w:rsid w:val="00F249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5B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yperlink" Target="http://www.prentrom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fdlrsregion3dynamicdisplaypages.wikispaces.com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yperlink" Target="http://www.dynavoxtech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altillo.com/" TargetMode="External"/><Relationship Id="rId20" Type="http://schemas.openxmlformats.org/officeDocument/2006/relationships/hyperlink" Target="http://www.silver-kit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ardmakershare.com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yperlink" Target="http://www.assistivewar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4FD81-5DC5-4C8E-AB87-6C8C1AB2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dc:description/>
  <cp:lastModifiedBy>George, Catherine H.</cp:lastModifiedBy>
  <cp:revision>13</cp:revision>
  <cp:lastPrinted>2012-10-02T15:15:00Z</cp:lastPrinted>
  <dcterms:created xsi:type="dcterms:W3CDTF">2012-05-02T19:53:00Z</dcterms:created>
  <dcterms:modified xsi:type="dcterms:W3CDTF">2013-01-09T15:37:00Z</dcterms:modified>
</cp:coreProperties>
</file>